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COVID Terms Call</w:t>
      </w:r>
    </w:p>
    <w:p w:rsidR="00000000" w:rsidDel="00000000" w:rsidP="00000000" w:rsidRDefault="00000000" w:rsidRPr="00000000" w14:paraId="00000002">
      <w:pPr>
        <w:ind w:left="0" w:firstLine="0"/>
        <w:rPr/>
      </w:pPr>
      <w:r w:rsidDel="00000000" w:rsidR="00000000" w:rsidRPr="00000000">
        <w:rPr>
          <w:rtl w:val="0"/>
        </w:rPr>
        <w:t xml:space="preserve">May 8, 2020</w:t>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t xml:space="preserve">Participants:</w:t>
      </w:r>
    </w:p>
    <w:p w:rsidR="00000000" w:rsidDel="00000000" w:rsidP="00000000" w:rsidRDefault="00000000" w:rsidRPr="00000000" w14:paraId="00000005">
      <w:pPr>
        <w:ind w:left="0" w:firstLine="0"/>
        <w:rPr/>
      </w:pPr>
      <w:r w:rsidDel="00000000" w:rsidR="00000000" w:rsidRPr="00000000">
        <w:rPr>
          <w:rtl w:val="0"/>
        </w:rPr>
        <w:t xml:space="preserve">Terry Cullen, Carl Leitner, Nenad, Garrett, Can Celik, Swapna, Josh Zamor, Nat</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Mappings between WHO resources and FHIR</w:t>
      </w:r>
    </w:p>
    <w:p w:rsidR="00000000" w:rsidDel="00000000" w:rsidP="00000000" w:rsidRDefault="00000000" w:rsidRPr="00000000" w14:paraId="00000008">
      <w:pPr>
        <w:numPr>
          <w:ilvl w:val="1"/>
          <w:numId w:val="1"/>
        </w:numPr>
        <w:ind w:left="1440" w:hanging="360"/>
        <w:rPr>
          <w:u w:val="none"/>
        </w:rPr>
      </w:pPr>
      <w:hyperlink r:id="rId6">
        <w:r w:rsidDel="00000000" w:rsidR="00000000" w:rsidRPr="00000000">
          <w:rPr>
            <w:color w:val="1155cc"/>
            <w:u w:val="single"/>
            <w:rtl w:val="0"/>
          </w:rPr>
          <w:t xml:space="preserve">Case report spreadsheet</w:t>
        </w:r>
      </w:hyperlink>
      <w:r w:rsidDel="00000000" w:rsidR="00000000" w:rsidRPr="00000000">
        <w:rPr>
          <w:rtl w:val="0"/>
        </w:rPr>
      </w:r>
    </w:p>
    <w:p w:rsidR="00000000" w:rsidDel="00000000" w:rsidP="00000000" w:rsidRDefault="00000000" w:rsidRPr="00000000" w14:paraId="00000009">
      <w:pPr>
        <w:ind w:left="1440" w:firstLine="0"/>
        <w:rPr/>
      </w:pPr>
      <w:r w:rsidDel="00000000" w:rsidR="00000000" w:rsidRPr="00000000">
        <w:rPr>
          <w:rtl w:val="0"/>
        </w:rPr>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Trying to do FHIR IG for a Case Report (against WHO Covid CR form)</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Want to ensure using correct ICD10/11 codes for comorbidities  </w:t>
      </w:r>
    </w:p>
    <w:p w:rsidR="00000000" w:rsidDel="00000000" w:rsidP="00000000" w:rsidRDefault="00000000" w:rsidRPr="00000000" w14:paraId="0000000C">
      <w:pPr>
        <w:numPr>
          <w:ilvl w:val="2"/>
          <w:numId w:val="1"/>
        </w:numPr>
        <w:ind w:left="2160" w:hanging="360"/>
        <w:rPr>
          <w:u w:val="none"/>
        </w:rPr>
      </w:pPr>
      <w:r w:rsidDel="00000000" w:rsidR="00000000" w:rsidRPr="00000000">
        <w:rPr>
          <w:rtl w:val="0"/>
        </w:rPr>
        <w:t xml:space="preserve">Problem w/ learning curve on what are the relevant comorbidities </w:t>
      </w:r>
    </w:p>
    <w:p w:rsidR="00000000" w:rsidDel="00000000" w:rsidP="00000000" w:rsidRDefault="00000000" w:rsidRPr="00000000" w14:paraId="0000000D">
      <w:pPr>
        <w:numPr>
          <w:ilvl w:val="2"/>
          <w:numId w:val="1"/>
        </w:numPr>
        <w:ind w:left="2160" w:hanging="360"/>
        <w:rPr>
          <w:u w:val="none"/>
        </w:rPr>
      </w:pPr>
      <w:r w:rsidDel="00000000" w:rsidR="00000000" w:rsidRPr="00000000">
        <w:rPr>
          <w:rtl w:val="0"/>
        </w:rPr>
        <w:t xml:space="preserve">Do we need an extract or use API</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Have been using DCG tool for developing IG which has the value sets explicitly listed</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Will default to ICD-10, 11 as primary codes, maybe SNOMED if part of the open-licensed GPS value sets</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Not so much extensible w/ the DCG tool</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Since we don’t know full comorbidities yet, difficult to pre-determine what the value set to be since don't want to bias</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ICD 11 license</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Open commercial and noncommercial software</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Modifications restricted</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No need to document confirming acceptance of license</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APIs + FHIR</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ICD 10/11- no restful API</w:t>
      </w:r>
    </w:p>
    <w:p w:rsidR="00000000" w:rsidDel="00000000" w:rsidP="00000000" w:rsidRDefault="00000000" w:rsidRPr="00000000" w14:paraId="00000019">
      <w:pPr>
        <w:numPr>
          <w:ilvl w:val="2"/>
          <w:numId w:val="1"/>
        </w:numPr>
        <w:ind w:left="2160" w:hanging="360"/>
        <w:rPr>
          <w:u w:val="none"/>
        </w:rPr>
      </w:pPr>
      <w:r w:rsidDel="00000000" w:rsidR="00000000" w:rsidRPr="00000000">
        <w:rPr>
          <w:rtl w:val="0"/>
        </w:rPr>
        <w:t xml:space="preserve">? licensing concerns of ICD 11= open license</w:t>
      </w:r>
    </w:p>
    <w:p w:rsidR="00000000" w:rsidDel="00000000" w:rsidP="00000000" w:rsidRDefault="00000000" w:rsidRPr="00000000" w14:paraId="0000001A">
      <w:pPr>
        <w:numPr>
          <w:ilvl w:val="2"/>
          <w:numId w:val="1"/>
        </w:numPr>
        <w:ind w:left="2160" w:hanging="360"/>
        <w:rPr>
          <w:u w:val="none"/>
        </w:rPr>
      </w:pPr>
      <w:r w:rsidDel="00000000" w:rsidR="00000000" w:rsidRPr="00000000">
        <w:rPr>
          <w:rtl w:val="0"/>
        </w:rPr>
        <w:t xml:space="preserve">ICD (10 and 11)  API - open </w:t>
      </w:r>
    </w:p>
    <w:p w:rsidR="00000000" w:rsidDel="00000000" w:rsidP="00000000" w:rsidRDefault="00000000" w:rsidRPr="00000000" w14:paraId="0000001B">
      <w:pPr>
        <w:numPr>
          <w:ilvl w:val="2"/>
          <w:numId w:val="1"/>
        </w:numPr>
        <w:ind w:left="2160" w:hanging="360"/>
        <w:rPr>
          <w:u w:val="none"/>
        </w:rPr>
      </w:pPr>
      <w:r w:rsidDel="00000000" w:rsidR="00000000" w:rsidRPr="00000000">
        <w:rPr>
          <w:rtl w:val="0"/>
        </w:rPr>
        <w:t xml:space="preserve">Have additional components that can be embedded into web application</w:t>
      </w:r>
    </w:p>
    <w:p w:rsidR="00000000" w:rsidDel="00000000" w:rsidP="00000000" w:rsidRDefault="00000000" w:rsidRPr="00000000" w14:paraId="0000001C">
      <w:pPr>
        <w:numPr>
          <w:ilvl w:val="2"/>
          <w:numId w:val="1"/>
        </w:numPr>
        <w:ind w:left="2160" w:hanging="360"/>
        <w:rPr>
          <w:u w:val="none"/>
        </w:rPr>
      </w:pPr>
      <w:r w:rsidDel="00000000" w:rsidR="00000000" w:rsidRPr="00000000">
        <w:rPr>
          <w:rtl w:val="0"/>
        </w:rPr>
        <w:t xml:space="preserve">Will not be a full scale terminology server</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FHIR standard for API</w:t>
      </w:r>
    </w:p>
    <w:p w:rsidR="00000000" w:rsidDel="00000000" w:rsidP="00000000" w:rsidRDefault="00000000" w:rsidRPr="00000000" w14:paraId="0000001E">
      <w:pPr>
        <w:numPr>
          <w:ilvl w:val="1"/>
          <w:numId w:val="1"/>
        </w:numPr>
        <w:ind w:left="1440" w:hanging="360"/>
        <w:rPr>
          <w:u w:val="none"/>
        </w:rPr>
      </w:pPr>
      <w:r w:rsidDel="00000000" w:rsidR="00000000" w:rsidRPr="00000000">
        <w:rPr>
          <w:rtl w:val="0"/>
        </w:rPr>
        <w:t xml:space="preserve">IHE Profile (not quite the final one, just published update) </w:t>
      </w:r>
      <w:hyperlink r:id="rId7">
        <w:r w:rsidDel="00000000" w:rsidR="00000000" w:rsidRPr="00000000">
          <w:rPr>
            <w:color w:val="1155cc"/>
            <w:u w:val="single"/>
            <w:rtl w:val="0"/>
          </w:rPr>
          <w:t xml:space="preserve">https://www.ihe.net/uploadedFiles/Documents/ITI/IHE_ITI_Suppl_SVCM_Rev1-0_PC_2020-03-05.pdf</w:t>
        </w:r>
      </w:hyperlink>
      <w:r w:rsidDel="00000000" w:rsidR="00000000" w:rsidRPr="00000000">
        <w:rPr>
          <w:rtl w:val="0"/>
        </w:rPr>
      </w:r>
    </w:p>
    <w:p w:rsidR="00000000" w:rsidDel="00000000" w:rsidP="00000000" w:rsidRDefault="00000000" w:rsidRPr="00000000" w14:paraId="0000001F">
      <w:pPr>
        <w:ind w:left="2160" w:firstLine="0"/>
        <w:rPr/>
      </w:pPr>
      <w:r w:rsidDel="00000000" w:rsidR="00000000" w:rsidRPr="00000000">
        <w:rPr>
          <w:rtl w:val="0"/>
        </w:rPr>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Digital Health tools will align with FHIR terminology services</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Supply Value Sets</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Have lists of devices and medicines in ICD</w:t>
      </w:r>
    </w:p>
    <w:p w:rsidR="00000000" w:rsidDel="00000000" w:rsidP="00000000" w:rsidRDefault="00000000" w:rsidRPr="00000000" w14:paraId="00000023">
      <w:pPr>
        <w:numPr>
          <w:ilvl w:val="1"/>
          <w:numId w:val="1"/>
        </w:numPr>
        <w:ind w:left="1440" w:hanging="360"/>
        <w:rPr>
          <w:u w:val="none"/>
        </w:rPr>
      </w:pPr>
      <w:r w:rsidDel="00000000" w:rsidR="00000000" w:rsidRPr="00000000">
        <w:rPr>
          <w:rtl w:val="0"/>
        </w:rPr>
        <w:t xml:space="preserve">EML uses the ICD API</w:t>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UNICEF Catalog covers EML and others</w:t>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ICD delegates to SMEs in domains for these lists</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WHO+WFP, UNICEF and Global Fund will be global suppliers for Covid</w:t>
      </w:r>
    </w:p>
    <w:p w:rsidR="00000000" w:rsidDel="00000000" w:rsidP="00000000" w:rsidRDefault="00000000" w:rsidRPr="00000000" w14:paraId="00000027">
      <w:pPr>
        <w:numPr>
          <w:ilvl w:val="2"/>
          <w:numId w:val="1"/>
        </w:numPr>
        <w:ind w:left="2160" w:hanging="360"/>
        <w:rPr>
          <w:u w:val="none"/>
        </w:rPr>
      </w:pPr>
      <w:r w:rsidDel="00000000" w:rsidR="00000000" w:rsidRPr="00000000">
        <w:rPr>
          <w:rtl w:val="0"/>
        </w:rPr>
        <w:t xml:space="preserve">What code should be used between these suppliers?  Will it be an ICD-11 code?  </w:t>
      </w:r>
    </w:p>
    <w:p w:rsidR="00000000" w:rsidDel="00000000" w:rsidP="00000000" w:rsidRDefault="00000000" w:rsidRPr="00000000" w14:paraId="00000028">
      <w:pPr>
        <w:numPr>
          <w:ilvl w:val="2"/>
          <w:numId w:val="1"/>
        </w:numPr>
        <w:ind w:left="2160" w:hanging="360"/>
        <w:rPr>
          <w:u w:val="none"/>
        </w:rPr>
      </w:pPr>
      <w:r w:rsidDel="00000000" w:rsidR="00000000" w:rsidRPr="00000000">
        <w:rPr>
          <w:rtl w:val="0"/>
        </w:rPr>
        <w:t xml:space="preserve">Yes, though amount of coordination is not clear </w:t>
      </w:r>
    </w:p>
    <w:p w:rsidR="00000000" w:rsidDel="00000000" w:rsidP="00000000" w:rsidRDefault="00000000" w:rsidRPr="00000000" w14:paraId="00000029">
      <w:pPr>
        <w:numPr>
          <w:ilvl w:val="2"/>
          <w:numId w:val="1"/>
        </w:numPr>
        <w:ind w:left="2160" w:hanging="360"/>
        <w:rPr>
          <w:u w:val="none"/>
        </w:rPr>
      </w:pPr>
      <w:r w:rsidDel="00000000" w:rsidR="00000000" w:rsidRPr="00000000">
        <w:rPr>
          <w:rtl w:val="0"/>
        </w:rPr>
        <w:t xml:space="preserve">There will be a code with gloves, for example (</w:t>
      </w:r>
      <w:hyperlink r:id="rId8">
        <w:r w:rsidDel="00000000" w:rsidR="00000000" w:rsidRPr="00000000">
          <w:rPr>
            <w:color w:val="1155cc"/>
            <w:u w:val="single"/>
            <w:rtl w:val="0"/>
          </w:rPr>
          <w:t xml:space="preserve">XD02L5</w:t>
        </w:r>
      </w:hyperlink>
      <w:r w:rsidDel="00000000" w:rsidR="00000000" w:rsidRPr="00000000">
        <w:rPr>
          <w:rtl w:val="0"/>
        </w:rPr>
        <w:t xml:space="preserve">).</w:t>
      </w:r>
    </w:p>
    <w:p w:rsidR="00000000" w:rsidDel="00000000" w:rsidP="00000000" w:rsidRDefault="00000000" w:rsidRPr="00000000" w14:paraId="0000002A">
      <w:pPr>
        <w:numPr>
          <w:ilvl w:val="3"/>
          <w:numId w:val="1"/>
        </w:numPr>
        <w:ind w:left="2880" w:hanging="360"/>
        <w:rPr>
          <w:u w:val="none"/>
        </w:rPr>
      </w:pPr>
      <w:r w:rsidDel="00000000" w:rsidR="00000000" w:rsidRPr="00000000">
        <w:rPr>
          <w:rtl w:val="0"/>
        </w:rPr>
        <w:t xml:space="preserve">To operationalize for a country, they’ll need to understand some more basics on what that is and how they can align (i.e. count) what they have and need to that code.  Product Description (functional equivalency) and unit of measure being the most important, basic packaging (e.g. # of eaches in package) next.</w:t>
      </w:r>
    </w:p>
    <w:p w:rsidR="00000000" w:rsidDel="00000000" w:rsidP="00000000" w:rsidRDefault="00000000" w:rsidRPr="00000000" w14:paraId="0000002B">
      <w:pPr>
        <w:numPr>
          <w:ilvl w:val="1"/>
          <w:numId w:val="1"/>
        </w:numPr>
        <w:ind w:left="1440" w:hanging="360"/>
        <w:rPr>
          <w:u w:val="none"/>
        </w:rPr>
      </w:pPr>
      <w:r w:rsidDel="00000000" w:rsidR="00000000" w:rsidRPr="00000000">
        <w:rPr>
          <w:rtl w:val="0"/>
        </w:rPr>
        <w:t xml:space="preserve">Need to go back to devices folks to see if they are going to manage a product catalog w/ full supply chain information</w:t>
      </w:r>
    </w:p>
    <w:p w:rsidR="00000000" w:rsidDel="00000000" w:rsidP="00000000" w:rsidRDefault="00000000" w:rsidRPr="00000000" w14:paraId="0000002C">
      <w:pPr>
        <w:numPr>
          <w:ilvl w:val="1"/>
          <w:numId w:val="1"/>
        </w:numPr>
        <w:ind w:left="1440" w:hanging="360"/>
        <w:rPr>
          <w:u w:val="none"/>
        </w:rPr>
      </w:pPr>
      <w:r w:rsidDel="00000000" w:rsidR="00000000" w:rsidRPr="00000000">
        <w:rPr>
          <w:rtl w:val="0"/>
        </w:rPr>
        <w:t xml:space="preserve">Where do we fill gap between product catalog and codes in ICD</w:t>
      </w:r>
    </w:p>
    <w:p w:rsidR="00000000" w:rsidDel="00000000" w:rsidP="00000000" w:rsidRDefault="00000000" w:rsidRPr="00000000" w14:paraId="0000002D">
      <w:pPr>
        <w:numPr>
          <w:ilvl w:val="1"/>
          <w:numId w:val="1"/>
        </w:numPr>
        <w:ind w:left="1440" w:hanging="360"/>
        <w:rPr>
          <w:u w:val="none"/>
        </w:rPr>
      </w:pPr>
      <w:r w:rsidDel="00000000" w:rsidR="00000000" w:rsidRPr="00000000">
        <w:rPr>
          <w:rtl w:val="0"/>
        </w:rPr>
        <w:t xml:space="preserve">Big issue is around unit of measure and specific identifiers to guide countries as they are ordering</w:t>
      </w:r>
    </w:p>
    <w:p w:rsidR="00000000" w:rsidDel="00000000" w:rsidP="00000000" w:rsidRDefault="00000000" w:rsidRPr="00000000" w14:paraId="0000002E">
      <w:pPr>
        <w:numPr>
          <w:ilvl w:val="1"/>
          <w:numId w:val="1"/>
        </w:numPr>
        <w:ind w:left="1440" w:hanging="360"/>
        <w:rPr>
          <w:u w:val="none"/>
        </w:rPr>
      </w:pPr>
      <w:r w:rsidDel="00000000" w:rsidR="00000000" w:rsidRPr="00000000">
        <w:rPr>
          <w:rtl w:val="0"/>
        </w:rPr>
        <w:t xml:space="preserve">Adriana is point on devices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spreadsheets/d/16jg8sDW6x1uxg_BgxBeSsf1m_3hLCULtVGEh3UXXFzU/edit#gid=0" TargetMode="External"/><Relationship Id="rId7" Type="http://schemas.openxmlformats.org/officeDocument/2006/relationships/hyperlink" Target="https://www.ihe.net/uploadedFiles/Documents/ITI/IHE_ITI_Suppl_SVCM_Rev1-0_PC_2020-03-05.pdf" TargetMode="External"/><Relationship Id="rId8" Type="http://schemas.openxmlformats.org/officeDocument/2006/relationships/hyperlink" Target="https://icd.who.int/dev11/l-m/en#/http://id.who.int/icd/entity/10953108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